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645A" w14:textId="6ECBFE75" w:rsidR="00946E3A" w:rsidRPr="00431B6B" w:rsidRDefault="00795456" w:rsidP="00AC7974">
      <w:pPr>
        <w:jc w:val="both"/>
        <w:rPr>
          <w:b/>
        </w:rPr>
      </w:pPr>
      <w:bookmarkStart w:id="0" w:name="_GoBack"/>
      <w:bookmarkEnd w:id="0"/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14:paraId="31A3D552" w14:textId="1628BE10"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14:paraId="5E494FFC" w14:textId="77777777" w:rsidR="00431B6B" w:rsidRDefault="00431B6B" w:rsidP="00AC7974">
      <w:pPr>
        <w:jc w:val="both"/>
      </w:pPr>
    </w:p>
    <w:p w14:paraId="41BB008E" w14:textId="77777777" w:rsidR="00795456" w:rsidRDefault="00795456" w:rsidP="00AC7974">
      <w:pPr>
        <w:jc w:val="both"/>
      </w:pPr>
    </w:p>
    <w:p w14:paraId="3E111104" w14:textId="0FC8E884"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14:paraId="1D4DB39E" w14:textId="77777777" w:rsidR="00795456" w:rsidRDefault="00795456" w:rsidP="00AC7974">
      <w:pPr>
        <w:jc w:val="both"/>
      </w:pPr>
    </w:p>
    <w:p w14:paraId="48F081A6" w14:textId="77777777" w:rsidR="00795456" w:rsidRDefault="00795456" w:rsidP="00AC7974">
      <w:pPr>
        <w:jc w:val="both"/>
      </w:pPr>
    </w:p>
    <w:p w14:paraId="30A74B8C" w14:textId="77777777"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14:paraId="5BFC50AB" w14:textId="52E56904"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14:paraId="7E2E0D31" w14:textId="467A5C4E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14:paraId="22F4482D" w14:textId="15EDE0D7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14:paraId="764DAF5F" w14:textId="77777777" w:rsidR="00795456" w:rsidRDefault="00795456" w:rsidP="00AC7974">
      <w:pPr>
        <w:tabs>
          <w:tab w:val="left" w:pos="6521"/>
        </w:tabs>
        <w:ind w:left="4248"/>
        <w:jc w:val="both"/>
      </w:pPr>
    </w:p>
    <w:p w14:paraId="12DF53C9" w14:textId="77777777" w:rsidR="00431B6B" w:rsidRDefault="00431B6B" w:rsidP="00AC7974">
      <w:pPr>
        <w:jc w:val="both"/>
      </w:pPr>
    </w:p>
    <w:p w14:paraId="1C9E0ACE" w14:textId="77777777" w:rsidR="00265308" w:rsidRDefault="00265308" w:rsidP="00AC7974">
      <w:pPr>
        <w:jc w:val="both"/>
      </w:pPr>
    </w:p>
    <w:p w14:paraId="761150EE" w14:textId="1891005E"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14:paraId="115AC156" w14:textId="77777777" w:rsidR="00431B6B" w:rsidRDefault="00431B6B" w:rsidP="00AC7974">
      <w:pPr>
        <w:jc w:val="both"/>
      </w:pPr>
    </w:p>
    <w:p w14:paraId="61B7B1EB" w14:textId="77777777" w:rsidR="00431B6B" w:rsidRDefault="00431B6B" w:rsidP="00AC7974">
      <w:pPr>
        <w:jc w:val="both"/>
      </w:pPr>
    </w:p>
    <w:p w14:paraId="516C0A9D" w14:textId="21808F0B" w:rsidR="00AC7974" w:rsidRPr="00BD4463" w:rsidRDefault="00AC7974" w:rsidP="00BD4463">
      <w:pPr>
        <w:jc w:val="both"/>
      </w:pPr>
      <w:r w:rsidRPr="00BD4463">
        <w:rPr>
          <w:b/>
        </w:rPr>
        <w:t xml:space="preserve">[Civilité] </w:t>
      </w:r>
      <w:r w:rsidR="00795456" w:rsidRPr="00BD4463">
        <w:rPr>
          <w:b/>
        </w:rPr>
        <w:t>[Nom et Prénom de l’assuré]</w:t>
      </w:r>
    </w:p>
    <w:p w14:paraId="0B5264C3" w14:textId="77777777" w:rsidR="00AC7974" w:rsidRPr="00BD4463" w:rsidRDefault="00795456" w:rsidP="00BD4463">
      <w:pPr>
        <w:jc w:val="both"/>
      </w:pPr>
      <w:r w:rsidRPr="00BD4463">
        <w:rPr>
          <w:b/>
        </w:rPr>
        <w:t>[NIR]</w:t>
      </w:r>
    </w:p>
    <w:p w14:paraId="71721BDE" w14:textId="77777777" w:rsidR="00AC7974" w:rsidRDefault="00AC7974" w:rsidP="00AC7974">
      <w:pPr>
        <w:jc w:val="both"/>
      </w:pPr>
    </w:p>
    <w:p w14:paraId="71E85581" w14:textId="4C80C340"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14:paraId="74D42C49" w14:textId="326F1D03" w:rsidR="00931737" w:rsidRDefault="00795456" w:rsidP="00AC7974">
      <w:pPr>
        <w:jc w:val="both"/>
      </w:pPr>
      <w:r w:rsidRPr="00A757C8">
        <w:t xml:space="preserve">est </w:t>
      </w:r>
      <w:r w:rsidR="00AC7974" w:rsidRPr="00A757C8">
        <w:t xml:space="preserve">titulaire </w:t>
      </w:r>
      <w:r w:rsidR="00353806">
        <w:t>d’un contrat de complémentaire santé</w:t>
      </w:r>
      <w:r w:rsidR="00AC7974">
        <w:t xml:space="preserve"> couvr</w:t>
      </w:r>
      <w:r w:rsidR="00353806">
        <w:t>ant</w:t>
      </w:r>
      <w:r w:rsidR="00AC7974">
        <w:t xml:space="preserve">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14:paraId="329BD1D1" w14:textId="77777777" w:rsidR="00931737" w:rsidRDefault="00931737" w:rsidP="00AC7974">
      <w:pPr>
        <w:jc w:val="both"/>
      </w:pPr>
    </w:p>
    <w:p w14:paraId="2AFFDA67" w14:textId="57B69EEB"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14:paraId="026A7679" w14:textId="59DD1374"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</w:t>
      </w:r>
      <w:r w:rsidR="00FE3D73">
        <w:t>d’un contra</w:t>
      </w:r>
      <w:r w:rsidR="00353806">
        <w:t>t de</w:t>
      </w:r>
      <w:r w:rsidR="000C119E">
        <w:t xml:space="preserve"> complémentaire santé couvrant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</w:p>
    <w:p w14:paraId="2CD4C277" w14:textId="77777777" w:rsidR="00643352" w:rsidRDefault="00643352" w:rsidP="00AC7974">
      <w:pPr>
        <w:jc w:val="both"/>
      </w:pPr>
    </w:p>
    <w:p w14:paraId="6A73AE8B" w14:textId="77777777" w:rsidR="00353806" w:rsidRDefault="005C7C5C" w:rsidP="00AC7974">
      <w:pPr>
        <w:jc w:val="both"/>
      </w:pPr>
      <w:r>
        <w:t xml:space="preserve">Le bénéficiaire est couvert par le contrat susmentionné depuis le </w:t>
      </w:r>
      <w:r w:rsidRPr="005C7C5C">
        <w:rPr>
          <w:b/>
        </w:rPr>
        <w:t>[date]</w:t>
      </w:r>
      <w:r w:rsidR="00353806">
        <w:t xml:space="preserve">. </w:t>
      </w:r>
    </w:p>
    <w:p w14:paraId="46567330" w14:textId="77777777" w:rsidR="00353806" w:rsidRDefault="00353806" w:rsidP="00AC7974">
      <w:pPr>
        <w:jc w:val="both"/>
      </w:pPr>
    </w:p>
    <w:p w14:paraId="7E7D0681" w14:textId="18E5CBAC" w:rsidR="00BD4463" w:rsidRDefault="00BD4463" w:rsidP="00AC7974">
      <w:pPr>
        <w:jc w:val="both"/>
      </w:pPr>
      <w:r>
        <w:t>S</w:t>
      </w:r>
      <w:r w:rsidRPr="00353806">
        <w:t>ous réserve de toute r</w:t>
      </w:r>
      <w:r>
        <w:t>ésiliation ou sortie du contrat</w:t>
      </w:r>
      <w:r w:rsidRPr="00353806">
        <w:t xml:space="preserve"> postérieure à sa date d’émission</w:t>
      </w:r>
      <w:r>
        <w:t>, l</w:t>
      </w:r>
      <w:r w:rsidR="00353806" w:rsidRPr="00353806">
        <w:t>a présente attestation est valable</w:t>
      </w:r>
      <w:r w:rsidR="00353806">
        <w:t xml:space="preserve"> </w:t>
      </w:r>
      <w:r>
        <w:t xml:space="preserve">à compter du </w:t>
      </w:r>
      <w:r w:rsidRPr="00BD4463">
        <w:rPr>
          <w:highlight w:val="yellow"/>
        </w:rPr>
        <w:t>1</w:t>
      </w:r>
      <w:r w:rsidRPr="00BD4463">
        <w:rPr>
          <w:highlight w:val="yellow"/>
          <w:vertAlign w:val="superscript"/>
        </w:rPr>
        <w:t>er</w:t>
      </w:r>
      <w:r w:rsidRPr="00BD4463">
        <w:rPr>
          <w:highlight w:val="yellow"/>
        </w:rPr>
        <w:t xml:space="preserve"> janvier 2022</w:t>
      </w:r>
      <w:r>
        <w:t xml:space="preserve"> </w:t>
      </w:r>
      <w:r w:rsidRPr="00ED657F">
        <w:rPr>
          <w:highlight w:val="yellow"/>
        </w:rPr>
        <w:t>ou</w:t>
      </w:r>
      <w:r>
        <w:t xml:space="preserve"> </w:t>
      </w:r>
      <w:r w:rsidRPr="00BD4463">
        <w:rPr>
          <w:highlight w:val="yellow"/>
        </w:rPr>
        <w:t>date de début du contrat si postérieure au 1</w:t>
      </w:r>
      <w:r w:rsidRPr="00BD4463">
        <w:rPr>
          <w:highlight w:val="yellow"/>
          <w:vertAlign w:val="superscript"/>
        </w:rPr>
        <w:t>er</w:t>
      </w:r>
      <w:r w:rsidRPr="00BD4463">
        <w:rPr>
          <w:highlight w:val="yellow"/>
        </w:rPr>
        <w:t xml:space="preserve"> janvier 2022</w:t>
      </w:r>
      <w:r>
        <w:t xml:space="preserve"> pour l’application du d</w:t>
      </w:r>
      <w:r w:rsidRPr="00BD4463">
        <w:t>écret n° 2021-1164 du 8 septembre 2021 relatif au remboursement d'une partie des cotisations de protection sociale complémentaire destinées à couvrir les frais de santé des agents civils et militaires de l'Etat</w:t>
      </w:r>
      <w:r>
        <w:t>.</w:t>
      </w:r>
    </w:p>
    <w:p w14:paraId="793526F8" w14:textId="0754CDAB" w:rsidR="00643352" w:rsidRDefault="00643352" w:rsidP="00AC7974">
      <w:pPr>
        <w:jc w:val="both"/>
      </w:pPr>
    </w:p>
    <w:p w14:paraId="58FF7D58" w14:textId="356181B2"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14:paraId="61035128" w14:textId="790EB5D8"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1B21" w16cid:durableId="1D161F0A"/>
  <w16cid:commentId w16cid:paraId="4620C322" w16cid:durableId="1D161F0D"/>
  <w16cid:commentId w16cid:paraId="132EA9D2" w16cid:durableId="1D162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250A" w14:textId="77777777" w:rsidR="0077365B" w:rsidRDefault="0077365B" w:rsidP="00E70418">
      <w:r>
        <w:separator/>
      </w:r>
    </w:p>
  </w:endnote>
  <w:endnote w:type="continuationSeparator" w:id="0">
    <w:p w14:paraId="005ECBBF" w14:textId="77777777" w:rsidR="0077365B" w:rsidRDefault="0077365B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ED1D" w14:textId="77777777" w:rsidR="006A2428" w:rsidRDefault="006A2428">
    <w:pPr>
      <w:pStyle w:val="Pieddepage"/>
      <w:jc w:val="center"/>
    </w:pPr>
  </w:p>
  <w:p w14:paraId="454559FC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6C300" w14:textId="77777777" w:rsidR="0077365B" w:rsidRDefault="0077365B" w:rsidP="00E70418">
      <w:r>
        <w:separator/>
      </w:r>
    </w:p>
  </w:footnote>
  <w:footnote w:type="continuationSeparator" w:id="0">
    <w:p w14:paraId="2E6DCC76" w14:textId="77777777" w:rsidR="0077365B" w:rsidRDefault="0077365B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19E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3806"/>
    <w:rsid w:val="00355063"/>
    <w:rsid w:val="00355218"/>
    <w:rsid w:val="003621F3"/>
    <w:rsid w:val="00363F6F"/>
    <w:rsid w:val="0036477A"/>
    <w:rsid w:val="00365F71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578DB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4463"/>
    <w:rsid w:val="00BD72EB"/>
    <w:rsid w:val="00BE1EF4"/>
    <w:rsid w:val="00BF44F9"/>
    <w:rsid w:val="00BF7F40"/>
    <w:rsid w:val="00C018F7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456BB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D657F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3D73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E532BB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16D1-A919-42FD-A258-0DBFDB84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</Template>
  <TotalTime>1</TotalTime>
  <Pages>1</Pages>
  <Words>267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caugendre1</cp:lastModifiedBy>
  <cp:revision>2</cp:revision>
  <cp:lastPrinted>2018-05-18T12:25:00Z</cp:lastPrinted>
  <dcterms:created xsi:type="dcterms:W3CDTF">2021-12-03T07:58:00Z</dcterms:created>
  <dcterms:modified xsi:type="dcterms:W3CDTF">2021-12-03T07:58:00Z</dcterms:modified>
</cp:coreProperties>
</file>